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646BE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方正黑体_GBK" w:eastAsia="方正黑体_GBK"/>
          <w:sz w:val="32"/>
          <w:szCs w:val="32"/>
          <w:lang w:eastAsia="zh-CN"/>
        </w:rPr>
      </w:pPr>
      <w:r>
        <w:rPr>
          <w:rFonts w:hint="eastAsia" w:ascii="方正黑体_GBK" w:eastAsia="方正黑体_GBK"/>
          <w:sz w:val="32"/>
          <w:szCs w:val="32"/>
        </w:rPr>
        <w:t>附件</w:t>
      </w:r>
      <w:r>
        <w:rPr>
          <w:rFonts w:hint="eastAsia" w:ascii="方正黑体_GBK" w:eastAsia="方正黑体_GBK"/>
          <w:sz w:val="32"/>
          <w:szCs w:val="32"/>
          <w:lang w:val="en-US" w:eastAsia="zh-CN"/>
        </w:rPr>
        <w:t>2</w:t>
      </w:r>
    </w:p>
    <w:p w14:paraId="3897DD0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方正黑体_GBK" w:eastAsia="方正黑体_GBK"/>
          <w:sz w:val="32"/>
          <w:szCs w:val="32"/>
        </w:rPr>
      </w:pPr>
    </w:p>
    <w:p w14:paraId="5F71ECE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_GBK" w:hAnsi="宋体" w:eastAsia="方正小标宋_GBK"/>
          <w:spacing w:val="-6"/>
          <w:sz w:val="44"/>
          <w:szCs w:val="44"/>
          <w:lang w:val="en-US" w:eastAsia="zh-CN"/>
        </w:rPr>
      </w:pPr>
      <w:r>
        <w:rPr>
          <w:rFonts w:hint="eastAsia" w:ascii="方正小标宋_GBK" w:hAnsi="宋体" w:eastAsia="方正小标宋_GBK"/>
          <w:spacing w:val="-6"/>
          <w:sz w:val="44"/>
          <w:szCs w:val="44"/>
          <w:lang w:val="en-US" w:eastAsia="zh-CN"/>
        </w:rPr>
        <w:t>安徽省中小学生职业启蒙教师团队认定标准</w:t>
      </w:r>
    </w:p>
    <w:p w14:paraId="3116831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楷体" w:hAnsi="楷体" w:eastAsia="楷体" w:cs="楷体"/>
          <w:sz w:val="36"/>
          <w:szCs w:val="36"/>
          <w:lang w:val="en-US" w:eastAsia="zh-CN"/>
        </w:rPr>
      </w:pPr>
      <w:r>
        <w:rPr>
          <w:rFonts w:hint="eastAsia" w:ascii="楷体" w:hAnsi="楷体" w:eastAsia="楷体" w:cs="楷体"/>
          <w:sz w:val="36"/>
          <w:szCs w:val="36"/>
          <w:lang w:val="en-US" w:eastAsia="zh-CN"/>
        </w:rPr>
        <w:t>（试行）</w:t>
      </w:r>
    </w:p>
    <w:p w14:paraId="7B99004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_GBK" w:hAnsi="宋体" w:eastAsia="方正小标宋_GBK"/>
          <w:sz w:val="44"/>
          <w:szCs w:val="44"/>
          <w:lang w:val="en-US" w:eastAsia="zh-CN"/>
        </w:rPr>
      </w:pPr>
    </w:p>
    <w:tbl>
      <w:tblPr>
        <w:tblStyle w:val="6"/>
        <w:tblW w:w="906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71"/>
        <w:gridCol w:w="7389"/>
      </w:tblGrid>
      <w:tr w14:paraId="33B3790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6" w:hRule="atLeast"/>
          <w:tblHeader/>
          <w:jc w:val="center"/>
        </w:trPr>
        <w:tc>
          <w:tcPr>
            <w:tcW w:w="1671" w:type="dxa"/>
            <w:tcBorders>
              <w:tl2br w:val="nil"/>
              <w:tr2bl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2DE2FD9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center"/>
              <w:textAlignment w:val="auto"/>
              <w:rPr>
                <w:rFonts w:hint="default" w:ascii="方正黑体_GBK" w:hAnsi="Calibri" w:eastAsia="方正黑体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黑体_GBK" w:hAnsi="Calibri" w:eastAsia="方正黑体_GBK" w:cs="Times New Roman"/>
                <w:kern w:val="2"/>
                <w:sz w:val="28"/>
                <w:szCs w:val="28"/>
                <w:lang w:val="en-US" w:eastAsia="zh-CN" w:bidi="ar-SA"/>
              </w:rPr>
              <w:t>指标</w:t>
            </w:r>
            <w:r>
              <w:rPr>
                <w:rFonts w:hint="eastAsia" w:ascii="方正黑体_GBK" w:eastAsia="方正黑体_GBK" w:cs="Times New Roman"/>
                <w:kern w:val="2"/>
                <w:sz w:val="28"/>
                <w:szCs w:val="28"/>
                <w:lang w:val="en-US" w:eastAsia="zh-CN" w:bidi="ar-SA"/>
              </w:rPr>
              <w:t>名称</w:t>
            </w:r>
          </w:p>
        </w:tc>
        <w:tc>
          <w:tcPr>
            <w:tcW w:w="7389" w:type="dxa"/>
            <w:tcBorders>
              <w:tl2br w:val="nil"/>
              <w:tr2bl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7364469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center"/>
              <w:textAlignment w:val="auto"/>
              <w:rPr>
                <w:rFonts w:hint="eastAsia" w:ascii="方正黑体_GBK" w:hAnsi="Calibri" w:eastAsia="方正黑体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黑体_GBK" w:hAnsi="Calibri" w:eastAsia="方正黑体_GBK" w:cs="Times New Roman"/>
                <w:kern w:val="2"/>
                <w:sz w:val="28"/>
                <w:szCs w:val="28"/>
                <w:lang w:val="en-US" w:eastAsia="zh-CN" w:bidi="ar-SA"/>
              </w:rPr>
              <w:t>指标内涵及要求</w:t>
            </w:r>
          </w:p>
        </w:tc>
      </w:tr>
      <w:tr w14:paraId="4B5693D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1671" w:type="dxa"/>
            <w:tcBorders>
              <w:tl2br w:val="nil"/>
              <w:tr2bl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50A5920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一、理念与目标（10分）</w:t>
            </w:r>
          </w:p>
        </w:tc>
        <w:tc>
          <w:tcPr>
            <w:tcW w:w="7389" w:type="dxa"/>
            <w:tcBorders>
              <w:tl2br w:val="nil"/>
              <w:tr2bl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10DF41B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  <w:t>1.建设理念</w:t>
            </w:r>
          </w:p>
          <w:p w14:paraId="11D8B31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  <w:t>（1）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  <w:t>秉持“以学生为中心，注重个性化发展”的教育理念，关注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  <w:t>中小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  <w:t>学生的兴趣和特长，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  <w:t>培养职业兴趣，丰富职业体验，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  <w:t>引引导学生树立正确的职业观念和价值观。</w:t>
            </w:r>
          </w:p>
          <w:p w14:paraId="690E5E8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  <w:t>（2）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  <w:t>培养学生的实践能力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  <w:t>、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  <w:t>团队合作能力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  <w:t>、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  <w:t>创新能力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  <w:t>以及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  <w:t>职业道德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  <w:t>、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  <w:t>社会责</w:t>
            </w:r>
            <w:bookmarkStart w:id="0" w:name="_GoBack"/>
            <w:bookmarkEnd w:id="0"/>
            <w:r>
              <w:rPr>
                <w:rFonts w:hint="default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  <w:t>任感，帮助学生在成长过程中树立正确的价值观和人生观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  <w:t>，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  <w:t>使他们在未来的职业生涯中具备竞争力。</w:t>
            </w:r>
          </w:p>
          <w:p w14:paraId="31C494C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  <w:t>2.建设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  <w:t>目标</w:t>
            </w:r>
          </w:p>
          <w:p w14:paraId="227CEDC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  <w:t>（1）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  <w:t>帮助学生了解自己的兴趣和特长，引导学生树立正确的职业观念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  <w:t>，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  <w:t>激发其对职业的兴趣和热情，树立正确的职业道德和职业素养。</w:t>
            </w:r>
          </w:p>
          <w:p w14:paraId="381CAD1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  <w:t>（2）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  <w:t>帮助学生了解不同职业的特点和要求，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  <w:t>丰富职业认知，树立职业信念，增进职业情感，培育职业态度，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  <w:t>为其未来的职业规划提供参考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  <w:t>和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  <w:t>做好准备。</w:t>
            </w:r>
          </w:p>
        </w:tc>
      </w:tr>
      <w:tr w14:paraId="6D69059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1671" w:type="dxa"/>
            <w:tcBorders>
              <w:tl2br w:val="nil"/>
              <w:tr2bl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0A96D71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二、团队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构成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（15分）</w:t>
            </w:r>
          </w:p>
        </w:tc>
        <w:tc>
          <w:tcPr>
            <w:tcW w:w="7389" w:type="dxa"/>
            <w:tcBorders>
              <w:tl2br w:val="nil"/>
              <w:tr2bl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02AF9A8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1.团队带头人</w:t>
            </w:r>
          </w:p>
          <w:p w14:paraId="75B359C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具有丰富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的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职业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实践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经验、深厚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的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教育理论功底及团队领导能力，负责团队的整体规划、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教学指导、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资源调配与质量管理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等工作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。</w:t>
            </w:r>
          </w:p>
          <w:p w14:paraId="2B7E011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  <w:t>2.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专职指导教师</w:t>
            </w:r>
          </w:p>
          <w:p w14:paraId="3784C24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  <w:t>根据职业</w:t>
            </w: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lang w:val="en-US" w:eastAsia="zh-CN"/>
              </w:rPr>
              <w:t>启蒙（体验）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  <w:t>课程需求，配备具有相关专业背景、教学经验丰富、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  <w:t>良好的沟通能力，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  <w:t>擅长启发式教学的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专职指导教师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不少于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人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  <w:t>）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  <w:t>。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指导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  <w:t>教师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  <w:t>须具有教师资格证、具有中级及以上专业技术职称或技师以上职业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资格证书（或执业资格证书）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  <w:t>。</w:t>
            </w:r>
          </w:p>
          <w:p w14:paraId="5C39E6C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  <w:t>3.兼职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指导教师</w:t>
            </w:r>
          </w:p>
          <w:p w14:paraId="4ADCD97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聘请具有职业背景和丰富实践经验的专家或专业技术人员（含不超过70周岁的离退休人员）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  <w:t>作为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  <w:t>兼职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指导教师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  <w:t>。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  <w:t>兼职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指导教师队伍相对稳定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  <w:t>。</w:t>
            </w:r>
          </w:p>
          <w:p w14:paraId="04E41F1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  <w:t>4.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  <w:t>教辅人员</w:t>
            </w:r>
          </w:p>
          <w:p w14:paraId="41F64E1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 w:themeColor="text1"/>
                <w:kern w:val="0"/>
                <w:sz w:val="28"/>
                <w:szCs w:val="28"/>
                <w:lang w:val="en-US" w:eastAsia="zh-CN" w:bidi="ar"/>
              </w:rPr>
              <w:t>配备熟悉现代教育技术的专业人员，提升教学效率。</w:t>
            </w:r>
          </w:p>
        </w:tc>
      </w:tr>
      <w:tr w14:paraId="365DE4B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1671" w:type="dxa"/>
            <w:tcBorders>
              <w:tl2br w:val="nil"/>
              <w:tr2bl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1C5E24F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三、团队素质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（15分）</w:t>
            </w:r>
          </w:p>
        </w:tc>
        <w:tc>
          <w:tcPr>
            <w:tcW w:w="7389" w:type="dxa"/>
            <w:tcBorders>
              <w:tl2br w:val="nil"/>
              <w:tr2bl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69BED74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1.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专业素养</w:t>
            </w:r>
          </w:p>
          <w:p w14:paraId="42A76F1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团队成员应具备扎实的专业知识、良好的教学能力和持续学习的态度，能够紧跟行业发展趋势，不断更新教学内容和方法，确保教学内容的时效性和准确性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，能根据学生特点和认知水平设计职业启蒙课程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。</w:t>
            </w:r>
          </w:p>
          <w:p w14:paraId="42118CE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2.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职业素养</w:t>
            </w:r>
          </w:p>
          <w:p w14:paraId="7C4411A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坚持教书育人、以身作则，树立良好的师德师风，尊重学生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的全面发展和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个性发展，激发学生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的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职业兴趣与潜能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，能给学生提供全面的职业信息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。</w:t>
            </w:r>
          </w:p>
          <w:p w14:paraId="60C3A28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3.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沟通协调能力</w:t>
            </w:r>
          </w:p>
          <w:p w14:paraId="420C019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团队成员间应具备良好的沟通与合作精神，能够有效整合资源，协同开展教学活动，形成合力。</w:t>
            </w:r>
          </w:p>
          <w:p w14:paraId="67329BE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4.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创新能力</w:t>
            </w:r>
          </w:p>
          <w:p w14:paraId="45FAF4D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团队成员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要积极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探索新颖的教学模式和方法，利用现代信息技术手段，创新职业启蒙教育的形式和内容。</w:t>
            </w:r>
          </w:p>
        </w:tc>
      </w:tr>
      <w:tr w14:paraId="1440235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167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0DFA8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四、团队带头人（10分）</w:t>
            </w:r>
          </w:p>
        </w:tc>
        <w:tc>
          <w:tcPr>
            <w:tcW w:w="7389" w:type="dxa"/>
            <w:tcBorders>
              <w:tl2br w:val="nil"/>
              <w:tr2bl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5591B0C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1.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职业精神</w:t>
            </w:r>
          </w:p>
          <w:p w14:paraId="081FF63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坚持正确的政治方向，热爱教育事业，具有高尚的职业道德和敬业精神。以身作则，为团队成员树立良好的榜样。</w:t>
            </w:r>
          </w:p>
          <w:p w14:paraId="21E116E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2.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专业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能力</w:t>
            </w:r>
          </w:p>
          <w:p w14:paraId="69D1396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在职业启蒙教育领域有深厚的专业知识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和技能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，能准确把握前沿动态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，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具备终身学习的意识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和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开拓创新精神。</w:t>
            </w:r>
          </w:p>
          <w:p w14:paraId="14640EE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3.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管理能力</w:t>
            </w:r>
          </w:p>
          <w:p w14:paraId="59C0B93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能够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牵头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制定合理的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团队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发展规划，具备高效的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团队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管理能力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，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能够营造和谐愉快的团队氛围，凝聚团队力量，共同推动职业启蒙教育事业的发展。</w:t>
            </w:r>
          </w:p>
          <w:p w14:paraId="0615A3F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4.社会影响力</w:t>
            </w:r>
          </w:p>
          <w:p w14:paraId="3622757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与相关行业保持密切联系和合作，为团队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发展和学生学习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提供更多的实践机会和资源支持。</w:t>
            </w:r>
          </w:p>
        </w:tc>
      </w:tr>
      <w:tr w14:paraId="249D0AB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167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C8925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五、团队建设（35分）</w:t>
            </w:r>
          </w:p>
        </w:tc>
        <w:tc>
          <w:tcPr>
            <w:tcW w:w="7389" w:type="dxa"/>
            <w:tcBorders>
              <w:tl2br w:val="nil"/>
              <w:tr2bl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00E7667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1.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团队协作</w:t>
            </w:r>
          </w:p>
          <w:p w14:paraId="1776A7D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建立有效的沟通机制，促进团队成员之间的信息共享与经验交流，形成互补互助的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良好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团队氛围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。</w:t>
            </w:r>
          </w:p>
          <w:p w14:paraId="2CC4641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2.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定期培训</w:t>
            </w:r>
          </w:p>
          <w:p w14:paraId="30DBA2F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定期组织团队成员参加专业培训、学术交流及企业实践，拓宽视野，提升团队成员的专业水平和行业认知。</w:t>
            </w:r>
          </w:p>
          <w:p w14:paraId="426A0F5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3.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资源共享</w:t>
            </w:r>
          </w:p>
          <w:p w14:paraId="7A40278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构建团队内部及与其他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单位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之间的资源共享平台，促进教学资源的优化配置和高效利用。</w:t>
            </w:r>
          </w:p>
          <w:p w14:paraId="6806255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4.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文化建设</w:t>
            </w:r>
          </w:p>
          <w:p w14:paraId="3768987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培育积极向上的团队文化，营造开放、包容、创新的工作氛围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，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强调团队合作、尊重差异、鼓励创新，增强教师的归属感和使命感。</w:t>
            </w:r>
          </w:p>
          <w:p w14:paraId="2589AE0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5.工作制度</w:t>
            </w:r>
          </w:p>
          <w:p w14:paraId="2D238FB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制订切实可行的职业启蒙教师团队工作制度。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建立科学合理的绩效评价体系，通过奖励机制激发团队成员的积极性和创造力，促进团队持续发展。</w:t>
            </w:r>
          </w:p>
        </w:tc>
      </w:tr>
      <w:tr w14:paraId="4A37E71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167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B5BF3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六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、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教学评价（15分）</w:t>
            </w:r>
          </w:p>
        </w:tc>
        <w:tc>
          <w:tcPr>
            <w:tcW w:w="7389" w:type="dxa"/>
            <w:tcBorders>
              <w:tl2br w:val="nil"/>
              <w:tr2bl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165A5C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1.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教学效果评估</w:t>
            </w:r>
          </w:p>
          <w:p w14:paraId="47D736E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定期对教学活动进行效果评估，包括学生满意度、学习成果展示、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职业体验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效果等，及时调整教学策略。</w:t>
            </w:r>
          </w:p>
          <w:p w14:paraId="2F566B3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2.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团队自评与互评</w:t>
            </w:r>
          </w:p>
          <w:p w14:paraId="607ACC6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团队成员进行自我反思和相互评价，定期提交教学日志、教学案例及改进计划，促进个人成长和团队整体提升。</w:t>
            </w:r>
          </w:p>
          <w:p w14:paraId="2C7517F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3.</w:t>
            </w: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外部评价</w:t>
            </w:r>
          </w:p>
          <w:p w14:paraId="5F54D77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</w:rPr>
              <w:t>邀请行业专家、教育同行及学生家长等外部人士参与评价，获取多维度反馈，不断优化团队建设。</w:t>
            </w:r>
          </w:p>
        </w:tc>
      </w:tr>
    </w:tbl>
    <w:p w14:paraId="73666B6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ascii="方正仿宋_GBK" w:hAnsi="宋体" w:eastAsia="方正仿宋_GBK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440" w:right="1803" w:bottom="1440" w:left="1803" w:header="851" w:footer="1587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